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pPr>
      <w:r>
        <w:rPr>
          <w:rFonts w:ascii="Arial" w:cs="Arial" w:hAnsi="Arial"/>
        </w:rPr>
        <w:t>Puertas lógicas en computación cuántica topológica</w:t>
      </w:r>
    </w:p>
    <w:p>
      <w:pPr>
        <w:pStyle w:val="style31"/>
      </w:pPr>
      <w:r>
        <w:rPr>
          <w:rFonts w:ascii="Arial" w:cs="Arial" w:hAnsi="Arial"/>
          <w:sz w:val="20"/>
          <w:szCs w:val="20"/>
          <w:u w:val="single"/>
          <w:lang w:val="es-MX"/>
        </w:rPr>
        <w:t>P. Marín</w:t>
      </w:r>
      <w:r>
        <w:rPr>
          <w:rFonts w:ascii="Arial" w:cs="Arial" w:hAnsi="Arial"/>
          <w:sz w:val="20"/>
          <w:szCs w:val="20"/>
          <w:u w:val="none"/>
          <w:lang w:val="es-MX"/>
        </w:rPr>
        <w:t>, C. Estrada, J. Mahecha</w:t>
      </w:r>
    </w:p>
    <w:p>
      <w:pPr>
        <w:pStyle w:val="style32"/>
      </w:pPr>
      <w:r>
        <w:rPr>
          <w:rFonts w:ascii="Arial" w:cs="Arial" w:hAnsi="Arial"/>
          <w:sz w:val="20"/>
          <w:szCs w:val="20"/>
          <w:lang w:val="es-MX"/>
        </w:rPr>
        <w:t>Grupo de Física Atómica y Molecular, Instituto de Física, Universidad de Antioquia, A.A. 1226,Medellín</w:t>
      </w:r>
    </w:p>
    <w:p>
      <w:pPr>
        <w:pStyle w:val="style32"/>
      </w:pPr>
      <w:r>
        <w:rPr>
          <w:rFonts w:ascii="Arial" w:cs="Arial" w:hAnsi="Arial"/>
          <w:lang w:val="es-MX"/>
        </w:rPr>
      </w:r>
    </w:p>
    <w:p>
      <w:pPr>
        <w:pStyle w:val="style33"/>
      </w:pPr>
      <w:r>
        <w:rPr>
          <w:rFonts w:ascii="Arial" w:cs="Arial" w:hAnsi="Arial"/>
          <w:lang w:val="es-MX"/>
        </w:rPr>
        <w:t>Resumen</w:t>
      </w:r>
    </w:p>
    <w:p>
      <w:pPr>
        <w:pStyle w:val="style34"/>
        <w:spacing w:after="0" w:before="0"/>
        <w:contextualSpacing w:val="false"/>
      </w:pPr>
      <w:r>
        <w:rPr>
          <w:rFonts w:ascii="Arial" w:cs="Arial" w:hAnsi="Arial"/>
          <w:sz w:val="20"/>
          <w:szCs w:val="20"/>
        </w:rPr>
        <w:t xml:space="preserve">La computación cuántica basada en aniones es un novedoso tipo de computación que se caracteriza por ser muy robusta respecto a perturbaciones debidas al entorno. </w:t>
      </w:r>
      <w:r>
        <w:rPr>
          <w:rFonts w:ascii="Arial" w:cs="Arial" w:hAnsi="Arial"/>
          <w:b w:val="false"/>
          <w:bCs w:val="false"/>
          <w:sz w:val="20"/>
          <w:szCs w:val="20"/>
        </w:rPr>
        <w:t xml:space="preserve">La propuesta se basa en la existencia de estados topológicos de la materia cuyas cuasipartículas excitadas no son ni bosones ni fermiones, sino partículas conocidas como aniones. En la computación cuántica topológica, la información cuántica se almacena en las trayectorias bidimensionales de las cuasipartículas, las cuales se pueden describir en un espacio-tiempo 2+1 dimensional. Las lineas de mundo de las cuasiparticulas se cruzan unas sobre otras para formar los trenzados (braiding) en ese espacio tridimensional. Las puertas lógicas cuánticas dependen solo de la topología del trenzado. En el presente trabajo, de tipo </w:t>
      </w:r>
      <w:r>
        <w:rPr>
          <w:rFonts w:ascii="Arial" w:cs="Arial" w:hAnsi="Arial"/>
          <w:b w:val="false"/>
          <w:bCs w:val="false"/>
          <w:sz w:val="20"/>
          <w:szCs w:val="20"/>
        </w:rPr>
        <w:t>pedagógico</w:t>
      </w:r>
      <w:r>
        <w:rPr>
          <w:rFonts w:ascii="Arial" w:cs="Arial" w:hAnsi="Arial"/>
          <w:b w:val="false"/>
          <w:bCs w:val="false"/>
          <w:sz w:val="20"/>
          <w:szCs w:val="20"/>
        </w:rPr>
        <w:t>, se muestra como hallar trenzados que dan lugar a un conjunto universal de puertas cuánticas para bits cuánticos codificados en una clase de cuasipartículas que, según la literatura consultada, dará lugar a implementaciones promisorias de la computación cuántica. Ciertos experimentos con efecto Hall cuántico fraccionario indican que estos elementos pueden ser creados en el mundo real usando semiconductores hechos de arseniuro de galio cerca al cero absoluto y sujetos a campos magnéticos fuertes. Herramientas primordiales de dicha propuesta son los grupos de trenzados aplicados a los estados de aniones.</w:t>
      </w:r>
    </w:p>
    <w:p>
      <w:pPr>
        <w:pStyle w:val="style34"/>
        <w:spacing w:after="0" w:before="0"/>
        <w:contextualSpacing w:val="false"/>
      </w:pPr>
      <w:r>
        <w:rPr>
          <w:sz w:val="20"/>
          <w:szCs w:val="20"/>
        </w:rPr>
      </w:r>
    </w:p>
    <w:p>
      <w:pPr>
        <w:pStyle w:val="style34"/>
        <w:spacing w:after="0" w:before="0"/>
        <w:contextualSpacing w:val="false"/>
      </w:pPr>
      <w:r>
        <w:rPr>
          <w:rFonts w:ascii="Arial" w:cs="Arial" w:hAnsi="Arial"/>
          <w:b w:val="false"/>
          <w:bCs w:val="false"/>
          <w:sz w:val="20"/>
          <w:szCs w:val="20"/>
        </w:rPr>
        <w:t>Referencias</w:t>
      </w:r>
    </w:p>
    <w:p>
      <w:pPr>
        <w:pStyle w:val="style34"/>
        <w:spacing w:after="0" w:before="0"/>
        <w:contextualSpacing w:val="false"/>
      </w:pPr>
      <w:r>
        <w:rPr>
          <w:sz w:val="20"/>
          <w:szCs w:val="20"/>
        </w:rPr>
      </w:r>
    </w:p>
    <w:p>
      <w:pPr>
        <w:pStyle w:val="style34"/>
        <w:spacing w:after="0" w:before="0"/>
        <w:contextualSpacing w:val="false"/>
      </w:pPr>
      <w:r>
        <w:rPr>
          <w:rFonts w:ascii="Arial" w:cs="Arial" w:hAnsi="Arial"/>
          <w:b w:val="false"/>
          <w:bCs w:val="false"/>
          <w:sz w:val="20"/>
          <w:szCs w:val="20"/>
        </w:rPr>
        <w:t xml:space="preserve">A. Yu. Kitaev, </w:t>
      </w:r>
      <w:r>
        <w:rPr>
          <w:rFonts w:ascii="Arial" w:cs="Arial" w:hAnsi="Arial"/>
          <w:b w:val="false"/>
          <w:bCs w:val="false"/>
          <w:i/>
          <w:iCs/>
          <w:sz w:val="20"/>
          <w:szCs w:val="20"/>
        </w:rPr>
        <w:t>Fault-tolerant quantum computation by anyons</w:t>
      </w:r>
      <w:r>
        <w:rPr>
          <w:rFonts w:ascii="Arial" w:cs="Arial" w:hAnsi="Arial"/>
          <w:b w:val="false"/>
          <w:bCs w:val="false"/>
          <w:sz w:val="20"/>
          <w:szCs w:val="20"/>
        </w:rPr>
        <w:t>, arXiv:quant-ph/9707021 (1997).</w:t>
      </w:r>
    </w:p>
    <w:p>
      <w:pPr>
        <w:pStyle w:val="style34"/>
        <w:spacing w:after="0" w:before="0"/>
        <w:contextualSpacing w:val="false"/>
      </w:pPr>
      <w:r>
        <w:rPr>
          <w:rFonts w:ascii="Arial" w:cs="Arial" w:hAnsi="Arial"/>
          <w:b w:val="false"/>
          <w:bCs w:val="false"/>
          <w:sz w:val="20"/>
          <w:szCs w:val="20"/>
        </w:rPr>
      </w:r>
    </w:p>
    <w:p>
      <w:pPr>
        <w:pStyle w:val="style34"/>
        <w:spacing w:after="0" w:before="0"/>
        <w:contextualSpacing w:val="false"/>
      </w:pPr>
      <w:r>
        <w:rPr>
          <w:sz w:val="20"/>
          <w:szCs w:val="20"/>
        </w:rPr>
      </w:r>
    </w:p>
    <w:p>
      <w:pPr>
        <w:pStyle w:val="style34"/>
        <w:spacing w:after="0" w:before="0"/>
        <w:contextualSpacing w:val="false"/>
      </w:pPr>
      <w:r>
        <w:rPr>
          <w:rFonts w:ascii="Arial" w:cs="Arial" w:hAnsi="Arial"/>
          <w:b w:val="false"/>
          <w:bCs w:val="false"/>
          <w:sz w:val="20"/>
          <w:szCs w:val="20"/>
        </w:rPr>
        <w:t xml:space="preserve">J. Preskill, ‘‘Lecture Notes for Physics 219: </w:t>
      </w:r>
      <w:r>
        <w:rPr>
          <w:rFonts w:ascii="Arial" w:cs="Arial" w:hAnsi="Arial"/>
          <w:b w:val="false"/>
          <w:bCs w:val="false"/>
          <w:i/>
          <w:iCs/>
          <w:sz w:val="20"/>
          <w:szCs w:val="20"/>
        </w:rPr>
        <w:t>Quantum Computation —Part III: Topological Quantum Computation</w:t>
      </w:r>
      <w:r>
        <w:rPr>
          <w:rFonts w:ascii="Arial" w:cs="Arial" w:hAnsi="Arial"/>
          <w:b w:val="false"/>
          <w:bCs w:val="false"/>
          <w:sz w:val="20"/>
          <w:szCs w:val="20"/>
        </w:rPr>
        <w:t>,’’ (http://www.theory.caltech.edu/~preskill/ph219/topological.pdf ).</w:t>
      </w:r>
    </w:p>
    <w:p>
      <w:pPr>
        <w:pStyle w:val="style34"/>
        <w:spacing w:after="0" w:before="0"/>
        <w:contextualSpacing w:val="false"/>
      </w:pPr>
      <w:r>
        <w:rPr>
          <w:sz w:val="20"/>
          <w:szCs w:val="20"/>
        </w:rPr>
      </w:r>
    </w:p>
    <w:p>
      <w:pPr>
        <w:pStyle w:val="style34"/>
        <w:spacing w:after="0" w:before="0"/>
        <w:contextualSpacing w:val="false"/>
      </w:pPr>
      <w:r>
        <w:rPr>
          <w:rFonts w:ascii="Arial" w:cs="Arial" w:hAnsi="Arial"/>
          <w:b w:val="false"/>
          <w:bCs w:val="false"/>
          <w:sz w:val="20"/>
          <w:szCs w:val="20"/>
        </w:rPr>
        <w:t xml:space="preserve">N. E. Bonesteel, L. Hormozi, G. Zikos </w:t>
      </w:r>
      <w:r>
        <w:rPr>
          <w:rFonts w:ascii="Arial" w:cs="Arial" w:hAnsi="Arial"/>
          <w:b w:val="false"/>
          <w:bCs w:val="false"/>
          <w:sz w:val="20"/>
          <w:szCs w:val="20"/>
        </w:rPr>
        <w:t>and</w:t>
      </w:r>
      <w:r>
        <w:rPr>
          <w:rFonts w:ascii="Arial" w:cs="Arial" w:hAnsi="Arial"/>
          <w:b w:val="false"/>
          <w:bCs w:val="false"/>
          <w:sz w:val="20"/>
          <w:szCs w:val="20"/>
        </w:rPr>
        <w:t xml:space="preserve"> S. H. Simon: </w:t>
      </w:r>
      <w:r>
        <w:rPr>
          <w:rFonts w:ascii="Arial" w:cs="Arial" w:hAnsi="Arial"/>
          <w:b w:val="false"/>
          <w:bCs w:val="false"/>
          <w:i/>
          <w:iCs/>
          <w:sz w:val="20"/>
          <w:szCs w:val="20"/>
        </w:rPr>
        <w:t>Braid Topologies for Quantum Computation</w:t>
      </w:r>
      <w:r>
        <w:rPr>
          <w:rFonts w:ascii="Arial" w:cs="Arial" w:hAnsi="Arial"/>
          <w:b w:val="false"/>
          <w:bCs w:val="false"/>
          <w:sz w:val="20"/>
          <w:szCs w:val="20"/>
        </w:rPr>
        <w:t>,</w:t>
      </w:r>
    </w:p>
    <w:p>
      <w:pPr>
        <w:pStyle w:val="style34"/>
        <w:spacing w:after="0" w:before="0"/>
        <w:contextualSpacing w:val="false"/>
      </w:pPr>
      <w:r>
        <w:rPr>
          <w:rFonts w:ascii="Arial" w:cs="Arial" w:eastAsia="Arial" w:hAnsi="Arial"/>
          <w:b w:val="false"/>
          <w:bCs w:val="false"/>
          <w:sz w:val="20"/>
          <w:szCs w:val="20"/>
        </w:rPr>
        <w:t xml:space="preserve"> </w:t>
      </w:r>
      <w:r>
        <w:rPr>
          <w:rFonts w:ascii="Arial" w:cs="Arial" w:hAnsi="Arial"/>
          <w:b w:val="false"/>
          <w:bCs w:val="false"/>
          <w:sz w:val="20"/>
          <w:szCs w:val="20"/>
        </w:rPr>
        <w:t>Phys. Rev. Lett. 95, 140503 (2005).</w:t>
      </w:r>
    </w:p>
    <w:p>
      <w:pPr>
        <w:pStyle w:val="style34"/>
        <w:spacing w:after="0" w:before="0"/>
        <w:contextualSpacing w:val="false"/>
      </w:pPr>
      <w:r>
        <w:rPr>
          <w:sz w:val="20"/>
          <w:szCs w:val="20"/>
        </w:rPr>
      </w:r>
    </w:p>
    <w:p>
      <w:pPr>
        <w:pStyle w:val="style0"/>
        <w:spacing w:after="0" w:before="0"/>
        <w:contextualSpacing w:val="false"/>
      </w:pPr>
      <w:r>
        <w:rPr>
          <w:rFonts w:ascii="Arial" w:cs="Arial" w:hAnsi="Arial"/>
          <w:i/>
          <w:sz w:val="20"/>
          <w:szCs w:val="20"/>
        </w:rPr>
        <w:t>Autor correspondiente:</w:t>
      </w:r>
      <w:r>
        <w:rPr>
          <w:rFonts w:ascii="Arial" w:cs="Arial" w:hAnsi="Arial"/>
          <w:sz w:val="20"/>
          <w:szCs w:val="20"/>
        </w:rPr>
        <w:t xml:space="preserve"> </w:t>
      </w:r>
      <w:hyperlink r:id="rId2">
        <w:r>
          <w:rPr>
            <w:rStyle w:val="style17"/>
            <w:rStyle w:val="style17"/>
            <w:rFonts w:ascii="Arial" w:hAnsi="Arial"/>
            <w:sz w:val="20"/>
            <w:szCs w:val="20"/>
          </w:rPr>
          <w:t>dmarin29@gmail.com</w:t>
        </w:r>
      </w:hyperlink>
    </w:p>
    <w:sectPr>
      <w:type w:val="nextPage"/>
      <w:pgSz w:h="15840" w:w="12240"/>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Predeterminado"/>
    <w:next w:val="style0"/>
    <w:pPr>
      <w:widowControl w:val="false"/>
      <w:tabs/>
      <w:suppressAutoHyphens w:val="true"/>
    </w:pPr>
    <w:rPr>
      <w:rFonts w:ascii="Times New Roman" w:cs="Lohit Hindi" w:eastAsia="DejaVu Sans" w:hAnsi="Times New Roman"/>
      <w:color w:val="auto"/>
      <w:sz w:val="24"/>
      <w:szCs w:val="24"/>
      <w:lang w:bidi="hi-IN" w:eastAsia="zh-CN" w:val="es-CO"/>
    </w:rPr>
  </w:style>
  <w:style w:styleId="style1" w:type="paragraph">
    <w:name w:val="Encabezado 1"/>
    <w:basedOn w:val="style23"/>
    <w:next w:val="style19"/>
    <w:pPr>
      <w:numPr>
        <w:ilvl w:val="0"/>
        <w:numId w:val="1"/>
      </w:numPr>
      <w:outlineLvl w:val="0"/>
    </w:pPr>
    <w:rPr>
      <w:rFonts w:ascii="Times New Roman" w:cs="Lohit Hindi" w:eastAsia="DejaVu Sans" w:hAnsi="Times New Roman"/>
      <w:b/>
      <w:bCs/>
      <w:sz w:val="48"/>
      <w:szCs w:val="48"/>
    </w:rPr>
  </w:style>
  <w:style w:styleId="style15" w:type="character">
    <w:name w:val="Absatz-Standardschriftart"/>
    <w:next w:val="style15"/>
    <w:rPr/>
  </w:style>
  <w:style w:styleId="style16" w:type="character">
    <w:name w:val="Fuente de párrafo predeter."/>
    <w:next w:val="style16"/>
    <w:rPr/>
  </w:style>
  <w:style w:styleId="style17" w:type="character">
    <w:name w:val="Enlace de Internet"/>
    <w:basedOn w:val="style16"/>
    <w:next w:val="style17"/>
    <w:rPr>
      <w:rFonts w:cs="Times New Roman"/>
      <w:color w:val="0000FF"/>
      <w:u w:val="single"/>
    </w:rPr>
  </w:style>
  <w:style w:styleId="style18" w:type="paragraph">
    <w:name w:val="Encabezado"/>
    <w:basedOn w:val="style26"/>
    <w:next w:val="style19"/>
    <w:pPr>
      <w:keepNext/>
      <w:spacing w:after="120" w:before="240"/>
      <w:contextualSpacing w:val="false"/>
    </w:pPr>
    <w:rPr>
      <w:rFonts w:ascii="Arial" w:cs="Lohit Hindi" w:eastAsia="DejaVu Sans" w:hAnsi="Arial"/>
      <w:sz w:val="28"/>
      <w:szCs w:val="28"/>
    </w:rPr>
  </w:style>
  <w:style w:styleId="style19" w:type="paragraph">
    <w:name w:val="Cuerpo de texto"/>
    <w:basedOn w:val="style0"/>
    <w:next w:val="style19"/>
    <w:pPr>
      <w:spacing w:after="120" w:before="0"/>
      <w:contextualSpacing w:val="false"/>
    </w:pPr>
    <w:rPr/>
  </w:style>
  <w:style w:styleId="style20" w:type="paragraph">
    <w:name w:val="Lista"/>
    <w:basedOn w:val="style19"/>
    <w:next w:val="style20"/>
    <w:pPr/>
    <w:rPr>
      <w:rFonts w:cs="Lohit Hindi"/>
    </w:rPr>
  </w:style>
  <w:style w:styleId="style21" w:type="paragraph">
    <w:name w:val="Etiqueta"/>
    <w:basedOn w:val="style26"/>
    <w:next w:val="style21"/>
    <w:pPr>
      <w:suppressLineNumbers/>
      <w:spacing w:after="120" w:before="120"/>
      <w:contextualSpacing w:val="false"/>
    </w:pPr>
    <w:rPr>
      <w:rFonts w:cs="Lohit Hindi"/>
      <w:i/>
      <w:iCs/>
      <w:sz w:val="24"/>
      <w:szCs w:val="24"/>
    </w:rPr>
  </w:style>
  <w:style w:styleId="style22" w:type="paragraph">
    <w:name w:val="Índice"/>
    <w:basedOn w:val="style26"/>
    <w:next w:val="style22"/>
    <w:pPr>
      <w:suppressLineNumbers/>
    </w:pPr>
    <w:rPr>
      <w:rFonts w:cs="Lohit Hindi"/>
    </w:rPr>
  </w:style>
  <w:style w:styleId="style23" w:type="paragraph">
    <w:name w:val="Heading"/>
    <w:basedOn w:val="style0"/>
    <w:next w:val="style19"/>
    <w:pPr>
      <w:keepNext/>
      <w:spacing w:after="120" w:before="240"/>
      <w:contextualSpacing w:val="false"/>
    </w:pPr>
    <w:rPr>
      <w:rFonts w:ascii="Arial" w:cs="Lohit Hindi" w:eastAsia="DejaVu Sans" w:hAnsi="Arial"/>
      <w:sz w:val="28"/>
      <w:szCs w:val="28"/>
    </w:rPr>
  </w:style>
  <w:style w:styleId="style24" w:type="paragraph">
    <w:name w:val="Caption"/>
    <w:basedOn w:val="style0"/>
    <w:next w:val="style24"/>
    <w:pPr>
      <w:suppressLineNumbers/>
      <w:spacing w:after="120" w:before="120"/>
      <w:contextualSpacing w:val="false"/>
    </w:pPr>
    <w:rPr>
      <w:rFonts w:cs="Lohit Hindi"/>
      <w:i/>
      <w:iCs/>
      <w:sz w:val="24"/>
      <w:szCs w:val="24"/>
    </w:rPr>
  </w:style>
  <w:style w:styleId="style25" w:type="paragraph">
    <w:name w:val="Index"/>
    <w:basedOn w:val="style0"/>
    <w:next w:val="style25"/>
    <w:pPr>
      <w:suppressLineNumbers/>
    </w:pPr>
    <w:rPr>
      <w:rFonts w:cs="Lohit Hindi"/>
    </w:rPr>
  </w:style>
  <w:style w:styleId="style26" w:type="paragraph">
    <w:name w:val="WW-Predeterminado"/>
    <w:next w:val="style26"/>
    <w:pPr>
      <w:widowControl w:val="false"/>
      <w:tabs/>
      <w:suppressAutoHyphens w:val="true"/>
    </w:pPr>
    <w:rPr>
      <w:rFonts w:ascii="Times New Roman" w:cs="Lohit Hindi" w:eastAsia="DejaVu Sans" w:hAnsi="Times New Roman"/>
      <w:color w:val="00000A"/>
      <w:sz w:val="24"/>
      <w:szCs w:val="24"/>
      <w:lang w:bidi="hi-IN" w:eastAsia="zh-CN" w:val="es-ES"/>
    </w:rPr>
  </w:style>
  <w:style w:styleId="style27" w:type="paragraph">
    <w:name w:val="WW-Cuerpo de texto"/>
    <w:basedOn w:val="style26"/>
    <w:next w:val="style27"/>
    <w:pPr>
      <w:spacing w:after="120" w:before="0"/>
      <w:contextualSpacing w:val="false"/>
    </w:pPr>
    <w:rPr/>
  </w:style>
  <w:style w:styleId="style28" w:type="paragraph">
    <w:name w:val="WW-Lista"/>
    <w:basedOn w:val="style27"/>
    <w:next w:val="style28"/>
    <w:pPr/>
    <w:rPr>
      <w:rFonts w:cs="Lohit Hindi"/>
    </w:rPr>
  </w:style>
  <w:style w:styleId="style29" w:type="paragraph">
    <w:name w:val="Normal (Web)"/>
    <w:basedOn w:val="style0"/>
    <w:next w:val="style29"/>
    <w:pPr>
      <w:spacing w:after="100" w:before="100"/>
      <w:contextualSpacing w:val="false"/>
    </w:pPr>
    <w:rPr>
      <w:sz w:val="24"/>
      <w:szCs w:val="24"/>
      <w:lang w:val="es-ES"/>
    </w:rPr>
  </w:style>
  <w:style w:styleId="style30" w:type="paragraph">
    <w:name w:val="rev_titulo"/>
    <w:basedOn w:val="style0"/>
    <w:next w:val="style30"/>
    <w:pPr>
      <w:spacing w:after="240" w:before="0"/>
      <w:contextualSpacing w:val="false"/>
      <w:jc w:val="center"/>
    </w:pPr>
    <w:rPr>
      <w:b/>
      <w:lang w:val="es-ES"/>
    </w:rPr>
  </w:style>
  <w:style w:styleId="style31" w:type="paragraph">
    <w:name w:val="rev_autores"/>
    <w:basedOn w:val="style0"/>
    <w:next w:val="style31"/>
    <w:pPr>
      <w:jc w:val="center"/>
    </w:pPr>
    <w:rPr>
      <w:color w:val="000000"/>
    </w:rPr>
  </w:style>
  <w:style w:styleId="style32" w:type="paragraph">
    <w:name w:val="rev_institucion"/>
    <w:basedOn w:val="style0"/>
    <w:next w:val="style32"/>
    <w:pPr>
      <w:jc w:val="center"/>
    </w:pPr>
    <w:rPr>
      <w:i/>
    </w:rPr>
  </w:style>
  <w:style w:styleId="style33" w:type="paragraph">
    <w:name w:val="RESUMEN"/>
    <w:basedOn w:val="style0"/>
    <w:next w:val="style33"/>
    <w:pPr>
      <w:spacing w:after="40" w:before="120"/>
      <w:contextualSpacing w:val="false"/>
      <w:jc w:val="center"/>
    </w:pPr>
    <w:rPr>
      <w:b/>
      <w:caps/>
    </w:rPr>
  </w:style>
  <w:style w:styleId="style34" w:type="paragraph">
    <w:name w:val="resumen_texto"/>
    <w:basedOn w:val="style0"/>
    <w:next w:val="style34"/>
    <w:pPr>
      <w:spacing w:after="360" w:before="60"/>
      <w:contextualSpacing w:val="false"/>
      <w:jc w:val="both"/>
    </w:pPr>
    <w:rPr>
      <w:sz w:val="18"/>
      <w:lang w:val="es-M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lguien@universidad.edu.c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1367256704</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2013-05-02T12:13:48.00Z</dcterms:created>
  <dc:creator>daniel </dc:creator>
  <cp:revision>0</cp:revision>
</cp:coreProperties>
</file>